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498D157" wp14:editId="45A3B805">
                <wp:extent cx="36360" cy="36360"/>
                <wp:effectExtent l="0" t="0" r="20790" b="2079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BEC" w:rsidRDefault="00BD7BEC" w:rsidP="00BD7BEC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" strokeweight="1pt">
                <v:textbox inset="0,0,0,0">
                  <w:txbxContent>
                    <w:p w:rsidR="00BD7BEC" w:rsidRDefault="00BD7BEC" w:rsidP="00BD7BEC"/>
                  </w:txbxContent>
                </v:textbox>
                <w10:anchorlock/>
              </v:rect>
            </w:pict>
          </mc:Fallback>
        </mc:AlternateContent>
      </w:r>
    </w:p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D7BEC" w:rsidRDefault="00BD7BEC" w:rsidP="00BD7BEC">
      <w:pPr>
        <w:pStyle w:val="Standard"/>
        <w:tabs>
          <w:tab w:val="left" w:pos="1418"/>
        </w:tabs>
        <w:spacing w:after="0" w:line="240" w:lineRule="auto"/>
      </w:pPr>
      <w:r>
        <w:rPr>
          <w:rFonts w:ascii="Times New Roman" w:eastAsia="Times New Roman" w:hAnsi="Times New Roman" w:cs="Arial"/>
          <w:sz w:val="20"/>
          <w:szCs w:val="20"/>
          <w:lang w:val="ru-RU"/>
        </w:rPr>
        <w:t xml:space="preserve">                         </w:t>
      </w: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34D7613F" wp14:editId="45BA8807">
            <wp:extent cx="533520" cy="794160"/>
            <wp:effectExtent l="0" t="0" r="0" b="5940"/>
            <wp:docPr id="2" name="irc_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7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EC" w:rsidRPr="00651317" w:rsidRDefault="00BD7BEC" w:rsidP="00BD7BEC">
      <w:pPr>
        <w:pStyle w:val="Standard"/>
        <w:tabs>
          <w:tab w:val="left" w:pos="1418"/>
        </w:tabs>
        <w:spacing w:after="0" w:line="240" w:lineRule="auto"/>
      </w:pPr>
      <w:r>
        <w:rPr>
          <w:rFonts w:ascii="Times New Roman" w:eastAsia="Times New Roman" w:hAnsi="Times New Roman" w:cs="Arial"/>
          <w:b/>
          <w:sz w:val="20"/>
          <w:szCs w:val="20"/>
          <w:lang w:val="ru-RU"/>
        </w:rPr>
        <w:t xml:space="preserve">              </w:t>
      </w:r>
      <w:r w:rsidRPr="00651317">
        <w:rPr>
          <w:rFonts w:ascii="Times New Roman" w:eastAsia="Times New Roman" w:hAnsi="Times New Roman" w:cs="Arial"/>
          <w:sz w:val="24"/>
          <w:szCs w:val="24"/>
          <w:lang w:val="ru-RU"/>
        </w:rPr>
        <w:t>Република Србија</w:t>
      </w:r>
    </w:p>
    <w:p w:rsidR="00BD7BEC" w:rsidRPr="00651317" w:rsidRDefault="00BD7BEC" w:rsidP="00BD7BEC">
      <w:pPr>
        <w:pStyle w:val="Standard"/>
        <w:tabs>
          <w:tab w:val="left" w:pos="141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651317">
        <w:rPr>
          <w:rFonts w:ascii="Times New Roman" w:eastAsia="Times New Roman" w:hAnsi="Times New Roman" w:cs="Arial"/>
          <w:sz w:val="24"/>
          <w:szCs w:val="24"/>
          <w:lang w:val="ru-RU"/>
        </w:rPr>
        <w:t>ДРЖАВНО ВЕЋЕ ТУЖИЛАЦА</w:t>
      </w:r>
    </w:p>
    <w:p w:rsidR="00BD7BEC" w:rsidRPr="00A264B6" w:rsidRDefault="00BD7BEC" w:rsidP="00BD7BEC">
      <w:pPr>
        <w:pStyle w:val="Standard"/>
        <w:tabs>
          <w:tab w:val="left" w:pos="1418"/>
          <w:tab w:val="left" w:pos="3495"/>
        </w:tabs>
        <w:spacing w:after="0" w:line="240" w:lineRule="auto"/>
      </w:pPr>
      <w:r>
        <w:rPr>
          <w:rFonts w:ascii="Times New Roman" w:eastAsia="Times New Roman" w:hAnsi="Times New Roman" w:cs="Arial"/>
          <w:b/>
          <w:lang w:val="ru-RU"/>
        </w:rPr>
        <w:t xml:space="preserve">                </w:t>
      </w:r>
      <w:r>
        <w:rPr>
          <w:rFonts w:ascii="Times New Roman" w:eastAsia="Times New Roman" w:hAnsi="Times New Roman" w:cs="Arial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64B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264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4B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A264B6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D7BEC" w:rsidRDefault="00BD7BEC" w:rsidP="00BD7BEC">
      <w:pPr>
        <w:pStyle w:val="Standard"/>
        <w:tabs>
          <w:tab w:val="left" w:pos="1418"/>
          <w:tab w:val="left" w:pos="3495"/>
        </w:tabs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    Датум: </w:t>
      </w:r>
      <w:r w:rsidR="000C695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A264B6">
        <w:rPr>
          <w:rFonts w:ascii="Times New Roman" w:eastAsia="Times New Roman" w:hAnsi="Times New Roman" w:cs="Arial"/>
          <w:sz w:val="24"/>
          <w:szCs w:val="24"/>
        </w:rPr>
        <w:t>25.</w:t>
      </w:r>
      <w:r>
        <w:rPr>
          <w:rFonts w:ascii="Times New Roman" w:eastAsia="Times New Roman" w:hAnsi="Times New Roman" w:cs="Arial"/>
          <w:sz w:val="24"/>
          <w:szCs w:val="24"/>
        </w:rPr>
        <w:t>5.</w:t>
      </w:r>
      <w:r w:rsidR="00A264B6">
        <w:rPr>
          <w:rFonts w:ascii="Times New Roman" w:eastAsia="Times New Roman" w:hAnsi="Times New Roman" w:cs="Arial"/>
          <w:sz w:val="24"/>
          <w:szCs w:val="24"/>
          <w:lang w:val="ru-RU"/>
        </w:rPr>
        <w:t>20</w:t>
      </w:r>
      <w:r w:rsidR="00A264B6">
        <w:rPr>
          <w:rFonts w:ascii="Times New Roman" w:eastAsia="Times New Roman" w:hAnsi="Times New Roman" w:cs="Arial"/>
          <w:sz w:val="24"/>
          <w:szCs w:val="24"/>
        </w:rPr>
        <w:t xml:space="preserve">20  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/>
        </w:rPr>
        <w:tab/>
      </w:r>
    </w:p>
    <w:p w:rsidR="00BD7BEC" w:rsidRDefault="00BD7BEC" w:rsidP="00BD7BEC">
      <w:pPr>
        <w:pStyle w:val="Standard"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>Б е о г р а д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BEC" w:rsidRDefault="00BD7BEC" w:rsidP="00BD7BEC">
      <w:pPr>
        <w:pStyle w:val="Standard"/>
        <w:tabs>
          <w:tab w:val="left" w:pos="1418"/>
          <w:tab w:val="left" w:pos="3495"/>
        </w:tabs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РС”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 14/15 и 68/15)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Arial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A264B6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A264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264B6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:rsidR="00BD7BEC" w:rsidRDefault="00BD7BEC" w:rsidP="00BD7B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ДРЖАВНО ВЕЋЕ ТУЖИЛАЦА</w:t>
      </w:r>
    </w:p>
    <w:p w:rsidR="00BD7BEC" w:rsidRDefault="00BD7BEC" w:rsidP="00BD7B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Ресавска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EC" w:rsidRDefault="00BD7BEC" w:rsidP="00BD7BEC">
      <w:pPr>
        <w:pStyle w:val="Standard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 Ј А В Љ У Ј Е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ПОЗИВ ЗА ПОДНОШЕЊЕ ПОНУДА У ПОСТУПКУ ЈАВНЕ НАБАВКЕ </w:t>
      </w:r>
      <w:r w:rsidR="003C48DD">
        <w:rPr>
          <w:rFonts w:ascii="Times New Roman" w:eastAsia="Times New Roman" w:hAnsi="Times New Roman" w:cs="Times New Roman"/>
          <w:b/>
          <w:bCs/>
          <w:sz w:val="24"/>
          <w:szCs w:val="24"/>
        </w:rPr>
        <w:t>МАЛЕ ВРЕДНОСТИ ЗА НАБАВКУ УСЛУГ</w:t>
      </w:r>
      <w:r w:rsidR="003C48D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ОСИГУРАЊА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ИМОВИНЕ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ЗАПОСЛЕНИХ КОЈИ СУ У РАДНОМ ОДНОСУ У ТУЖИЛАШТВИМА У РЕПУБЛИЦИ СРБИЈИ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грађевинских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комбиновано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тужилаштвима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B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A264B6"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A264B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131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31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651317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264B6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460" w:type="dxa"/>
        <w:tblLayout w:type="fixed"/>
        <w:tblLook w:val="0000" w:firstRow="0" w:lastRow="0" w:firstColumn="0" w:lastColumn="0" w:noHBand="0" w:noVBand="0"/>
      </w:tblPr>
      <w:tblGrid>
        <w:gridCol w:w="1187"/>
        <w:gridCol w:w="7273"/>
      </w:tblGrid>
      <w:tr w:rsidR="00BD7BEC" w:rsidTr="00651317">
        <w:trPr>
          <w:trHeight w:val="646"/>
        </w:trPr>
        <w:tc>
          <w:tcPr>
            <w:tcW w:w="1187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  <w:proofErr w:type="spellEnd"/>
          </w:p>
        </w:tc>
        <w:tc>
          <w:tcPr>
            <w:tcW w:w="7273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Назив партије</w:t>
            </w:r>
          </w:p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7BEC" w:rsidTr="00651317">
        <w:trPr>
          <w:trHeight w:val="1201"/>
        </w:trPr>
        <w:tc>
          <w:tcPr>
            <w:tcW w:w="1187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273" w:type="dxa"/>
          </w:tcPr>
          <w:p w:rsidR="00BD7BEC" w:rsidRDefault="00BD7BEC" w:rsidP="0065131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имовине-грађевинских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тужилаштвима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јула</w:t>
            </w:r>
            <w:proofErr w:type="spellEnd"/>
            <w:proofErr w:type="gram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264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264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BEC" w:rsidTr="00651317">
        <w:trPr>
          <w:trHeight w:val="1910"/>
        </w:trPr>
        <w:tc>
          <w:tcPr>
            <w:tcW w:w="1187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7273" w:type="dxa"/>
          </w:tcPr>
          <w:p w:rsidR="00BD7BEC" w:rsidRDefault="00BD7BEC" w:rsidP="00A264B6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тужилаштвима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несрећног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хирушке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>јула</w:t>
            </w:r>
            <w:proofErr w:type="spellEnd"/>
            <w:proofErr w:type="gramEnd"/>
            <w:r w:rsidR="00A2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513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264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Понуда се припрема и подноси у складу са конкурсном документацијом и позивом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Право учешћа имају сва заинтересована лица која испуњавају услове прописане чланом 75. Закона о јавним набавкама. Испуњеност наведених услова понуђач доказује на начин предвиђен чланом 77. Закона.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тужилаца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D7BEC" w:rsidRDefault="00A77EF6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48D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="003C48DD">
        <w:rPr>
          <w:rFonts w:ascii="Times New Roman" w:eastAsia="Times New Roman" w:hAnsi="Times New Roman" w:cs="Times New Roman"/>
          <w:bCs/>
          <w:sz w:val="24"/>
          <w:szCs w:val="24"/>
        </w:rPr>
        <w:t>.6.20</w:t>
      </w:r>
      <w:r w:rsidR="003C48D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</w:t>
      </w:r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 xml:space="preserve"> 12</w:t>
      </w:r>
      <w:proofErr w:type="gram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proofErr w:type="gramEnd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часова</w:t>
      </w:r>
      <w:proofErr w:type="spellEnd"/>
      <w:r w:rsidR="00BD7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D7BEC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 w:rsidR="00B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EC">
        <w:rPr>
          <w:rFonts w:ascii="Times New Roman" w:eastAsia="Times New Roman" w:hAnsi="Times New Roman" w:cs="Times New Roman"/>
          <w:sz w:val="24"/>
          <w:szCs w:val="24"/>
        </w:rPr>
        <w:t>пону</w:t>
      </w:r>
      <w:r w:rsidR="000C69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695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="000C69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12,15</w:t>
      </w:r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C69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просторијама Државног већа тужилаца, ул. Ресавска бр. 42</w:t>
      </w:r>
      <w:r w:rsidR="00BD7BE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овереној печатом.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Писарницу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у:</w:t>
      </w:r>
    </w:p>
    <w:p w:rsidR="00BD7BEC" w:rsidRDefault="00BD7BEC" w:rsidP="00BD7BEC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7BEC" w:rsidRDefault="00BD7BEC" w:rsidP="00BD7BEC">
      <w:pPr>
        <w:pStyle w:val="Standard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Државно веће тужилаца, Београд, ул. Ресавска бр.42</w:t>
      </w:r>
    </w:p>
    <w:p w:rsidR="00BD7BEC" w:rsidRDefault="00BD7BEC" w:rsidP="00BD7BEC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Коверат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понудом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ознаку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''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отварати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'',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полеђини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контакт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коверти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назначити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партије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конкурише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D7BEC" w:rsidRDefault="00BD7BEC" w:rsidP="00BD7BEC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Рок важења понуде не сме бити краћи од 60 дана од дана јавног отварања понуда.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Благовременим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стигну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недвосмислена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исказана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варијантама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дозвољена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овлашћених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Јавном отварању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 присуствовати сва заинтересована лица и представници понуђача који желе узети учешће у поступку отварања понуда, под условом да доставе уредно потписана и оверена пуномоћја, на основу којих ће доказати овлашћење за учешће у поступку јавног отварања понуда.</w:t>
      </w:r>
    </w:p>
    <w:p w:rsidR="00BD7BEC" w:rsidRDefault="00BD7BEC" w:rsidP="00BD7BEC">
      <w:pPr>
        <w:pStyle w:val="Standard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Благовремено приспеле понуде комисија ће отварати по редоследу приспећа.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неблаговременим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неотворене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неблаговремено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најповољније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критеријум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најниже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понуђена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најнижа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понуђена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премије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).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о додели уговора која ће бити образложена, биће донета у оквирном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од дана јавног отварања понуда.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о јавној набавци ће бити закључен по истеку рока за подношење захтева за заштиту права из члана 149. Закона о јавним набавкама.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е-пошту 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nikola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djekanovic@dvt.jt.rs.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Контакт особа 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Никола Ђекановић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BEC" w:rsidRDefault="00BD7BEC" w:rsidP="00BD7BEC">
      <w:pPr>
        <w:pStyle w:val="Standard"/>
        <w:spacing w:after="0" w:line="360" w:lineRule="auto"/>
        <w:ind w:left="360"/>
        <w:jc w:val="both"/>
        <w:rPr>
          <w:rFonts w:ascii="Arial" w:eastAsia="Times New Roman" w:hAnsi="Arial" w:cs="Arial"/>
          <w:color w:val="FF00FF"/>
          <w:sz w:val="24"/>
          <w:szCs w:val="24"/>
        </w:rPr>
      </w:pPr>
    </w:p>
    <w:p w:rsidR="00BD7BEC" w:rsidRDefault="00BD7BEC" w:rsidP="00BD7BEC">
      <w:pPr>
        <w:pStyle w:val="Standard"/>
        <w:spacing w:after="0" w:line="360" w:lineRule="auto"/>
        <w:ind w:left="360"/>
        <w:jc w:val="both"/>
        <w:rPr>
          <w:rFonts w:ascii="Arial" w:eastAsia="Times New Roman" w:hAnsi="Arial" w:cs="Arial"/>
          <w:color w:val="FF00FF"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КОМИСИЈА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44773" w:rsidRDefault="00144773"/>
    <w:sectPr w:rsidR="0014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1DB"/>
    <w:multiLevelType w:val="multilevel"/>
    <w:tmpl w:val="6FEE57D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C"/>
    <w:rsid w:val="000C6956"/>
    <w:rsid w:val="00144773"/>
    <w:rsid w:val="003C48DD"/>
    <w:rsid w:val="006275A7"/>
    <w:rsid w:val="00651317"/>
    <w:rsid w:val="00680393"/>
    <w:rsid w:val="00A264B6"/>
    <w:rsid w:val="00A77EF6"/>
    <w:rsid w:val="00B2151C"/>
    <w:rsid w:val="00B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E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7BE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EC"/>
    <w:rPr>
      <w:rFonts w:ascii="Tahoma" w:eastAsia="Arial Unicode MS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6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E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7BE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EC"/>
    <w:rPr>
      <w:rFonts w:ascii="Tahoma" w:eastAsia="Arial Unicode MS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6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Никола Ђекановић</cp:lastModifiedBy>
  <cp:revision>3</cp:revision>
  <dcterms:created xsi:type="dcterms:W3CDTF">2020-05-25T08:14:00Z</dcterms:created>
  <dcterms:modified xsi:type="dcterms:W3CDTF">2020-05-25T09:10:00Z</dcterms:modified>
</cp:coreProperties>
</file>