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F3" w:rsidRDefault="00B110F3" w:rsidP="00B110F3">
      <w:pPr>
        <w:rPr>
          <w:lang w:val="sr-Latn-CS"/>
        </w:rPr>
      </w:pPr>
      <w:r>
        <w:rPr>
          <w:b w:val="0"/>
          <w:noProof/>
          <w:lang w:val="en-US"/>
        </w:rPr>
        <w:drawing>
          <wp:inline distT="0" distB="0" distL="0" distR="0">
            <wp:extent cx="533400" cy="904875"/>
            <wp:effectExtent l="0" t="0" r="0" b="9525"/>
            <wp:docPr id="1" name="Picture 1" descr="Description: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0F3" w:rsidRDefault="00B110F3" w:rsidP="00B110F3">
      <w:pPr>
        <w:rPr>
          <w:b w:val="0"/>
        </w:rPr>
      </w:pPr>
      <w:r>
        <w:rPr>
          <w:rFonts w:hint="cs"/>
          <w:b w:val="0"/>
        </w:rPr>
        <w:t>Република Србија</w:t>
      </w:r>
    </w:p>
    <w:p w:rsidR="00B110F3" w:rsidRDefault="00B110F3" w:rsidP="00B110F3">
      <w:pPr>
        <w:rPr>
          <w:b w:val="0"/>
        </w:rPr>
      </w:pPr>
      <w:r>
        <w:rPr>
          <w:rFonts w:hint="cs"/>
          <w:b w:val="0"/>
        </w:rPr>
        <w:t>ДРЖАВНО ВЕЋЕ ТУЖИЛАЦА</w:t>
      </w:r>
    </w:p>
    <w:p w:rsidR="00B110F3" w:rsidRDefault="00B110F3" w:rsidP="00B110F3">
      <w:pPr>
        <w:rPr>
          <w:b w:val="0"/>
        </w:rPr>
      </w:pPr>
      <w:r>
        <w:rPr>
          <w:rFonts w:hint="cs"/>
          <w:b w:val="0"/>
        </w:rPr>
        <w:t xml:space="preserve">Број: ДВТ ПС </w:t>
      </w:r>
      <w:r w:rsidR="001E64C7">
        <w:rPr>
          <w:b w:val="0"/>
        </w:rPr>
        <w:t>16/</w:t>
      </w:r>
      <w:r>
        <w:rPr>
          <w:rFonts w:hint="cs"/>
          <w:b w:val="0"/>
        </w:rPr>
        <w:t>17</w:t>
      </w:r>
    </w:p>
    <w:p w:rsidR="00B110F3" w:rsidRDefault="00B110F3" w:rsidP="00B110F3">
      <w:pPr>
        <w:rPr>
          <w:b w:val="0"/>
        </w:rPr>
      </w:pPr>
      <w:r>
        <w:rPr>
          <w:rFonts w:hint="cs"/>
          <w:b w:val="0"/>
        </w:rPr>
        <w:t xml:space="preserve">Датум: </w:t>
      </w:r>
      <w:r w:rsidR="00355A2E">
        <w:rPr>
          <w:b w:val="0"/>
          <w:lang w:val="en-US"/>
        </w:rPr>
        <w:t>19.01</w:t>
      </w:r>
      <w:r w:rsidR="009505FD">
        <w:rPr>
          <w:rFonts w:hint="cs"/>
          <w:b w:val="0"/>
        </w:rPr>
        <w:t>.201</w:t>
      </w:r>
      <w:r w:rsidR="009505FD">
        <w:rPr>
          <w:b w:val="0"/>
          <w:lang w:val="sr-Cyrl-RS"/>
        </w:rPr>
        <w:t>8</w:t>
      </w:r>
      <w:r>
        <w:rPr>
          <w:rFonts w:hint="cs"/>
          <w:b w:val="0"/>
        </w:rPr>
        <w:t>.године</w:t>
      </w:r>
    </w:p>
    <w:p w:rsidR="00B110F3" w:rsidRDefault="00B110F3" w:rsidP="00B110F3">
      <w:pPr>
        <w:rPr>
          <w:b w:val="0"/>
        </w:rPr>
      </w:pPr>
      <w:r>
        <w:rPr>
          <w:rFonts w:hint="cs"/>
          <w:b w:val="0"/>
        </w:rPr>
        <w:t>ул. Ресавска бр. 42</w:t>
      </w:r>
    </w:p>
    <w:p w:rsidR="00B110F3" w:rsidRDefault="00B110F3" w:rsidP="00B110F3">
      <w:pPr>
        <w:rPr>
          <w:b w:val="0"/>
          <w:bCs/>
        </w:rPr>
      </w:pPr>
      <w:r>
        <w:rPr>
          <w:rFonts w:hint="cs"/>
          <w:b w:val="0"/>
          <w:bCs/>
        </w:rPr>
        <w:t>Б е о г а д</w:t>
      </w:r>
    </w:p>
    <w:p w:rsidR="00B110F3" w:rsidRDefault="00B110F3" w:rsidP="00B110F3">
      <w:pPr>
        <w:rPr>
          <w:b w:val="0"/>
          <w:bCs/>
        </w:rPr>
      </w:pPr>
      <w:r>
        <w:rPr>
          <w:rFonts w:hint="cs"/>
          <w:b w:val="0"/>
        </w:rPr>
        <w:t>ГИ</w:t>
      </w:r>
    </w:p>
    <w:p w:rsidR="00B110F3" w:rsidRDefault="00B110F3" w:rsidP="00B110F3"/>
    <w:p w:rsidR="00B110F3" w:rsidRDefault="00B110F3" w:rsidP="00B110F3"/>
    <w:p w:rsidR="00B110F3" w:rsidRDefault="00B110F3" w:rsidP="00B110F3">
      <w:pPr>
        <w:spacing w:line="276" w:lineRule="auto"/>
        <w:jc w:val="center"/>
      </w:pPr>
    </w:p>
    <w:p w:rsidR="00B110F3" w:rsidRDefault="00B110F3" w:rsidP="00B110F3">
      <w:pPr>
        <w:spacing w:line="360" w:lineRule="auto"/>
        <w:ind w:firstLine="720"/>
        <w:jc w:val="center"/>
      </w:pPr>
    </w:p>
    <w:p w:rsidR="00B110F3" w:rsidRPr="00604190" w:rsidRDefault="001E64C7" w:rsidP="00B110F3">
      <w:pPr>
        <w:spacing w:line="360" w:lineRule="auto"/>
        <w:ind w:firstLine="720"/>
        <w:jc w:val="center"/>
        <w:rPr>
          <w:lang w:val="sr-Cyrl-RS"/>
        </w:rPr>
      </w:pPr>
      <w:r>
        <w:t xml:space="preserve">МИШЉЕЊЕ </w:t>
      </w:r>
      <w:r w:rsidR="00B110F3">
        <w:rPr>
          <w:rFonts w:hint="cs"/>
        </w:rPr>
        <w:t xml:space="preserve">ПОВЕРЕНИКА ЗА САМОСТАЛНОСТ ЈАВНОГ ТУЖИЛАШТВА </w:t>
      </w:r>
      <w:r w:rsidR="005A68F4">
        <w:rPr>
          <w:lang w:val="sr-Cyrl-RS"/>
        </w:rPr>
        <w:t xml:space="preserve">О </w:t>
      </w:r>
      <w:r w:rsidR="00604190">
        <w:rPr>
          <w:lang w:val="sr-Cyrl-RS"/>
        </w:rPr>
        <w:t>ПОСТУПАЊ</w:t>
      </w:r>
      <w:r w:rsidR="005A68F4">
        <w:rPr>
          <w:lang w:val="sr-Cyrl-RS"/>
        </w:rPr>
        <w:t>У</w:t>
      </w:r>
      <w:r w:rsidR="005D2AC6">
        <w:rPr>
          <w:lang w:val="sr-Cyrl-RS"/>
        </w:rPr>
        <w:t xml:space="preserve"> АПЕЛАЦИОНОГ ЈАВНОГ ТУЖИЛАШТВА</w:t>
      </w:r>
      <w:r w:rsidR="00604190">
        <w:rPr>
          <w:lang w:val="sr-Cyrl-RS"/>
        </w:rPr>
        <w:t xml:space="preserve"> У</w:t>
      </w:r>
      <w:r w:rsidR="005A68F4">
        <w:rPr>
          <w:lang w:val="sr-Cyrl-RS"/>
        </w:rPr>
        <w:t xml:space="preserve"> БЕОГРАДУ ПОВОДОМ ПРИГОВОРА НА ОДЛУКУ </w:t>
      </w:r>
      <w:r w:rsidR="000A2DBD">
        <w:rPr>
          <w:lang w:val="sr-Cyrl-RS"/>
        </w:rPr>
        <w:t>ПРВОГ</w:t>
      </w:r>
      <w:bookmarkStart w:id="0" w:name="_GoBack"/>
      <w:bookmarkEnd w:id="0"/>
      <w:r w:rsidR="005A68F4">
        <w:rPr>
          <w:lang w:val="sr-Cyrl-RS"/>
        </w:rPr>
        <w:t xml:space="preserve"> ОСНОВНОГ ЈАВНОГ ТУЖИЛАШТВА У БЕОГРАДУ </w:t>
      </w:r>
    </w:p>
    <w:p w:rsidR="00B110F3" w:rsidRDefault="00B110F3" w:rsidP="00B110F3">
      <w:pPr>
        <w:spacing w:line="276" w:lineRule="auto"/>
        <w:jc w:val="center"/>
      </w:pPr>
    </w:p>
    <w:p w:rsidR="00B110F3" w:rsidRDefault="00B110F3" w:rsidP="00B110F3">
      <w:pPr>
        <w:spacing w:line="276" w:lineRule="auto"/>
        <w:jc w:val="center"/>
      </w:pPr>
    </w:p>
    <w:p w:rsidR="00B110F3" w:rsidRDefault="00B110F3" w:rsidP="00B110F3">
      <w:pPr>
        <w:spacing w:line="360" w:lineRule="auto"/>
        <w:jc w:val="both"/>
      </w:pPr>
    </w:p>
    <w:p w:rsidR="00E8729A" w:rsidRPr="00AC1E36" w:rsidRDefault="00B110F3" w:rsidP="00AC1E36">
      <w:pPr>
        <w:spacing w:line="360" w:lineRule="auto"/>
        <w:ind w:firstLine="720"/>
        <w:jc w:val="both"/>
        <w:rPr>
          <w:b w:val="0"/>
          <w:lang w:val="sr-Cyrl-RS"/>
        </w:rPr>
      </w:pPr>
      <w:r>
        <w:rPr>
          <w:rFonts w:hint="cs"/>
          <w:b w:val="0"/>
        </w:rPr>
        <w:t xml:space="preserve">Дана </w:t>
      </w:r>
      <w:r w:rsidR="001E64C7">
        <w:rPr>
          <w:b w:val="0"/>
        </w:rPr>
        <w:t>6.11</w:t>
      </w:r>
      <w:r>
        <w:rPr>
          <w:rFonts w:hint="cs"/>
          <w:b w:val="0"/>
        </w:rPr>
        <w:t xml:space="preserve">.2017. године примио сам поднесак </w:t>
      </w:r>
      <w:r w:rsidR="001E64C7">
        <w:rPr>
          <w:b w:val="0"/>
        </w:rPr>
        <w:t>судије Првог основног с</w:t>
      </w:r>
      <w:r w:rsidR="00D043C1">
        <w:rPr>
          <w:b w:val="0"/>
        </w:rPr>
        <w:t>уда у Београду, П</w:t>
      </w:r>
      <w:r w:rsidR="00D043C1">
        <w:rPr>
          <w:b w:val="0"/>
          <w:lang w:val="en-US"/>
        </w:rPr>
        <w:t>.</w:t>
      </w:r>
      <w:r w:rsidR="00D043C1">
        <w:rPr>
          <w:b w:val="0"/>
          <w:lang w:val="sr-Cyrl-RS"/>
        </w:rPr>
        <w:t>С.</w:t>
      </w:r>
      <w:r>
        <w:rPr>
          <w:rFonts w:hint="cs"/>
          <w:b w:val="0"/>
        </w:rPr>
        <w:t xml:space="preserve">, којим </w:t>
      </w:r>
      <w:r w:rsidR="001E64C7">
        <w:rPr>
          <w:b w:val="0"/>
        </w:rPr>
        <w:t xml:space="preserve">ми се обратила са захтевом да предузмем мере ради провере поступања по кривичној пријави коју је против </w:t>
      </w:r>
      <w:r w:rsidR="00D043C1">
        <w:rPr>
          <w:b w:val="0"/>
        </w:rPr>
        <w:t>ње поднео адвокат Н</w:t>
      </w:r>
      <w:r w:rsidR="00D043C1">
        <w:rPr>
          <w:b w:val="0"/>
          <w:lang w:val="sr-Cyrl-RS"/>
        </w:rPr>
        <w:t>.А.</w:t>
      </w:r>
      <w:r w:rsidR="000D3DB0">
        <w:rPr>
          <w:b w:val="0"/>
          <w:lang w:val="sr-Cyrl-RS"/>
        </w:rPr>
        <w:t>,</w:t>
      </w:r>
      <w:r w:rsidR="001E64C7">
        <w:rPr>
          <w:b w:val="0"/>
        </w:rPr>
        <w:t xml:space="preserve"> због наводно</w:t>
      </w:r>
      <w:r w:rsidR="00922FDD">
        <w:rPr>
          <w:b w:val="0"/>
        </w:rPr>
        <w:t xml:space="preserve">г извршења кривичног дела </w:t>
      </w:r>
      <w:r w:rsidR="001E64C7">
        <w:rPr>
          <w:b w:val="0"/>
        </w:rPr>
        <w:t xml:space="preserve"> из </w:t>
      </w:r>
      <w:r w:rsidR="00922FDD">
        <w:rPr>
          <w:b w:val="0"/>
        </w:rPr>
        <w:t>члана 360. Кривичног законика</w:t>
      </w:r>
      <w:r w:rsidR="001E64C7">
        <w:rPr>
          <w:b w:val="0"/>
        </w:rPr>
        <w:t>. У по</w:t>
      </w:r>
      <w:r w:rsidR="00D043C1">
        <w:rPr>
          <w:b w:val="0"/>
        </w:rPr>
        <w:t>менутом поднеску судија П</w:t>
      </w:r>
      <w:r w:rsidR="00D043C1">
        <w:rPr>
          <w:b w:val="0"/>
          <w:lang w:val="sr-Cyrl-RS"/>
        </w:rPr>
        <w:t>.</w:t>
      </w:r>
      <w:r w:rsidR="001E64C7">
        <w:rPr>
          <w:b w:val="0"/>
        </w:rPr>
        <w:t xml:space="preserve"> наводи да је</w:t>
      </w:r>
      <w:r w:rsidR="00E8729A">
        <w:rPr>
          <w:b w:val="0"/>
        </w:rPr>
        <w:t xml:space="preserve"> </w:t>
      </w:r>
      <w:r w:rsidR="001E64C7">
        <w:rPr>
          <w:b w:val="0"/>
        </w:rPr>
        <w:t>направљен преседан</w:t>
      </w:r>
      <w:r w:rsidR="000D3DB0">
        <w:rPr>
          <w:b w:val="0"/>
          <w:lang w:val="sr-Cyrl-RS"/>
        </w:rPr>
        <w:t>,</w:t>
      </w:r>
      <w:r w:rsidR="001E64C7">
        <w:rPr>
          <w:b w:val="0"/>
        </w:rPr>
        <w:t xml:space="preserve"> јер је одступљено </w:t>
      </w:r>
      <w:r w:rsidR="00922FDD">
        <w:rPr>
          <w:b w:val="0"/>
        </w:rPr>
        <w:t>од уобичајне праксе поступања</w:t>
      </w:r>
      <w:r w:rsidR="001E64C7">
        <w:rPr>
          <w:b w:val="0"/>
        </w:rPr>
        <w:t xml:space="preserve"> по кривичним пријавама против судија</w:t>
      </w:r>
      <w:r w:rsidR="00F03B84">
        <w:rPr>
          <w:b w:val="0"/>
        </w:rPr>
        <w:t>, тиме што је</w:t>
      </w:r>
      <w:r w:rsidR="001E64C7">
        <w:rPr>
          <w:b w:val="0"/>
        </w:rPr>
        <w:t xml:space="preserve"> </w:t>
      </w:r>
      <w:r w:rsidR="00922FDD">
        <w:rPr>
          <w:b w:val="0"/>
        </w:rPr>
        <w:t>обавезним упутством</w:t>
      </w:r>
      <w:r w:rsidR="00E8729A">
        <w:rPr>
          <w:b w:val="0"/>
        </w:rPr>
        <w:t xml:space="preserve"> Апелационог т</w:t>
      </w:r>
      <w:r w:rsidR="00922FDD">
        <w:rPr>
          <w:b w:val="0"/>
        </w:rPr>
        <w:t xml:space="preserve">ужиоца, наложено да буде </w:t>
      </w:r>
      <w:r w:rsidR="00F03B84">
        <w:rPr>
          <w:b w:val="0"/>
        </w:rPr>
        <w:t>позвана</w:t>
      </w:r>
      <w:r w:rsidR="00922FDD">
        <w:rPr>
          <w:b w:val="0"/>
        </w:rPr>
        <w:t xml:space="preserve"> у полицију ради прикупљања обавештења о радњама</w:t>
      </w:r>
      <w:r w:rsidR="00E8729A">
        <w:rPr>
          <w:b w:val="0"/>
        </w:rPr>
        <w:t xml:space="preserve"> које је предузимала у поступку по тужб</w:t>
      </w:r>
      <w:r w:rsidR="00D043C1">
        <w:rPr>
          <w:b w:val="0"/>
        </w:rPr>
        <w:t>и С</w:t>
      </w:r>
      <w:r w:rsidR="00D043C1">
        <w:rPr>
          <w:b w:val="0"/>
          <w:lang w:val="sr-Cyrl-RS"/>
        </w:rPr>
        <w:t>.Д.</w:t>
      </w:r>
      <w:r w:rsidR="00E8729A">
        <w:rPr>
          <w:b w:val="0"/>
        </w:rPr>
        <w:t>, коју је заступао подносилац пријаве.</w:t>
      </w:r>
      <w:r w:rsidR="00355A2E">
        <w:rPr>
          <w:b w:val="0"/>
          <w:lang w:val="en-US"/>
        </w:rPr>
        <w:t xml:space="preserve"> </w:t>
      </w:r>
      <w:r w:rsidR="00E8729A">
        <w:rPr>
          <w:b w:val="0"/>
        </w:rPr>
        <w:t>У прилогу је доставила записник са рочишта за главну расправу на којем су донета решења о новчаном кажњавању адвоката због увреде и непоступања по наредбама</w:t>
      </w:r>
      <w:r w:rsidR="00AC1E36">
        <w:rPr>
          <w:b w:val="0"/>
          <w:lang w:val="en-US"/>
        </w:rPr>
        <w:t xml:space="preserve"> </w:t>
      </w:r>
      <w:r w:rsidR="00AC1E36">
        <w:rPr>
          <w:b w:val="0"/>
          <w:lang w:val="sr-Cyrl-RS"/>
        </w:rPr>
        <w:t>суда</w:t>
      </w:r>
      <w:r w:rsidR="00E8729A">
        <w:rPr>
          <w:b w:val="0"/>
        </w:rPr>
        <w:t xml:space="preserve">  ради одржавања реда на рочишту у присуству више новинара који су пратили наведено суђење.</w:t>
      </w:r>
      <w:r w:rsidR="00D043C1">
        <w:rPr>
          <w:b w:val="0"/>
          <w:lang w:val="sr-Cyrl-RS"/>
        </w:rPr>
        <w:t xml:space="preserve"> У поднеску судија П.</w:t>
      </w:r>
      <w:r w:rsidR="00AC1E36">
        <w:rPr>
          <w:b w:val="0"/>
          <w:lang w:val="sr-Cyrl-RS"/>
        </w:rPr>
        <w:t xml:space="preserve">, такође, истиче </w:t>
      </w:r>
      <w:r w:rsidR="00E8729A">
        <w:rPr>
          <w:b w:val="0"/>
        </w:rPr>
        <w:t xml:space="preserve">да адвокат није користио право жалбе и да је добровољно платио новчану казну, а затим се и извинио због свог </w:t>
      </w:r>
      <w:r w:rsidR="00E8729A">
        <w:rPr>
          <w:b w:val="0"/>
        </w:rPr>
        <w:lastRenderedPageBreak/>
        <w:t xml:space="preserve">понашања. </w:t>
      </w:r>
      <w:r w:rsidR="0001067F">
        <w:rPr>
          <w:b w:val="0"/>
        </w:rPr>
        <w:t>Доставила је и мишљење Високог савета судства у погледу обавезе судије да образлаже донешење одлуке ван суда.</w:t>
      </w:r>
    </w:p>
    <w:p w:rsidR="0001067F" w:rsidRDefault="009E0155" w:rsidP="001E64C7">
      <w:pPr>
        <w:spacing w:line="360" w:lineRule="auto"/>
        <w:ind w:firstLine="720"/>
        <w:jc w:val="both"/>
        <w:rPr>
          <w:b w:val="0"/>
          <w:lang w:val="sr-Cyrl-RS"/>
        </w:rPr>
      </w:pPr>
      <w:r>
        <w:rPr>
          <w:b w:val="0"/>
        </w:rPr>
        <w:t>С о</w:t>
      </w:r>
      <w:r w:rsidR="0001067F">
        <w:rPr>
          <w:b w:val="0"/>
        </w:rPr>
        <w:t>бзиром да је поменути адвокат подносио више пријава против ње, које су одбачене</w:t>
      </w:r>
      <w:r w:rsidR="00AC1E36">
        <w:rPr>
          <w:b w:val="0"/>
        </w:rPr>
        <w:t xml:space="preserve"> решењем </w:t>
      </w:r>
      <w:r w:rsidR="00AC1E36">
        <w:rPr>
          <w:b w:val="0"/>
          <w:lang w:val="sr-Cyrl-RS"/>
        </w:rPr>
        <w:t>и да су</w:t>
      </w:r>
      <w:r>
        <w:rPr>
          <w:b w:val="0"/>
        </w:rPr>
        <w:t xml:space="preserve"> та решења потврђена</w:t>
      </w:r>
      <w:r w:rsidR="00D043C1">
        <w:rPr>
          <w:b w:val="0"/>
        </w:rPr>
        <w:t>, судија П</w:t>
      </w:r>
      <w:r w:rsidR="00D043C1">
        <w:rPr>
          <w:b w:val="0"/>
          <w:lang w:val="sr-Cyrl-RS"/>
        </w:rPr>
        <w:t>.</w:t>
      </w:r>
      <w:r w:rsidR="0001067F">
        <w:rPr>
          <w:b w:val="0"/>
        </w:rPr>
        <w:t xml:space="preserve"> истиче да је била изненађена када је добила позив да буде саслушана и</w:t>
      </w:r>
      <w:r w:rsidR="00AC1E36">
        <w:rPr>
          <w:b w:val="0"/>
          <w:lang w:val="sr-Cyrl-RS"/>
        </w:rPr>
        <w:t xml:space="preserve"> и да се</w:t>
      </w:r>
      <w:r w:rsidR="0001067F">
        <w:rPr>
          <w:b w:val="0"/>
        </w:rPr>
        <w:t xml:space="preserve"> поводом тога се информисала и сазнала да нико од суди</w:t>
      </w:r>
      <w:r w:rsidR="00747BFD">
        <w:rPr>
          <w:b w:val="0"/>
        </w:rPr>
        <w:t>ј</w:t>
      </w:r>
      <w:r w:rsidR="0001067F">
        <w:rPr>
          <w:b w:val="0"/>
        </w:rPr>
        <w:t>а против којих су поднете кривичне пријаве није био позиван јер су све радње забележене у сп</w:t>
      </w:r>
      <w:r w:rsidR="004B66E5">
        <w:rPr>
          <w:b w:val="0"/>
        </w:rPr>
        <w:t>исима предмета. Даље, сматра да</w:t>
      </w:r>
      <w:r w:rsidR="000D3DB0">
        <w:rPr>
          <w:b w:val="0"/>
          <w:lang w:val="sr-Cyrl-RS"/>
        </w:rPr>
        <w:t xml:space="preserve"> </w:t>
      </w:r>
      <w:r w:rsidR="0001067F">
        <w:rPr>
          <w:b w:val="0"/>
        </w:rPr>
        <w:t xml:space="preserve">налог којим се захтева изјашњење судије по кривичној </w:t>
      </w:r>
      <w:r w:rsidR="00747BFD">
        <w:rPr>
          <w:b w:val="0"/>
        </w:rPr>
        <w:t xml:space="preserve">пријави </w:t>
      </w:r>
      <w:r w:rsidR="0001067F">
        <w:rPr>
          <w:b w:val="0"/>
        </w:rPr>
        <w:t xml:space="preserve">адвоката а у вези поступања у предметима, представља </w:t>
      </w:r>
      <w:r>
        <w:rPr>
          <w:b w:val="0"/>
        </w:rPr>
        <w:t>''</w:t>
      </w:r>
      <w:r w:rsidR="0001067F">
        <w:rPr>
          <w:b w:val="0"/>
        </w:rPr>
        <w:t>опасан преседан</w:t>
      </w:r>
      <w:r>
        <w:rPr>
          <w:b w:val="0"/>
        </w:rPr>
        <w:t>''</w:t>
      </w:r>
      <w:r w:rsidR="0001067F">
        <w:rPr>
          <w:b w:val="0"/>
        </w:rPr>
        <w:t xml:space="preserve"> у смислу притисака на судије у односу на примену одредаба које регулишу поступак</w:t>
      </w:r>
      <w:r w:rsidR="001242FB">
        <w:rPr>
          <w:b w:val="0"/>
          <w:lang w:val="sr-Cyrl-RS"/>
        </w:rPr>
        <w:t>,</w:t>
      </w:r>
      <w:r w:rsidR="0001067F">
        <w:rPr>
          <w:b w:val="0"/>
        </w:rPr>
        <w:t xml:space="preserve"> јер постоји могућност да буде позван да износи одбрану у односу на своје законске обавезе, тим посебно што су радње у поступку забележене у списима предмета, те су лако проверљиви сви наводи из пријаве.</w:t>
      </w:r>
    </w:p>
    <w:p w:rsidR="00743967" w:rsidRPr="00743967" w:rsidRDefault="00355A2E" w:rsidP="001E64C7">
      <w:pPr>
        <w:spacing w:line="360" w:lineRule="auto"/>
        <w:ind w:firstLine="720"/>
        <w:jc w:val="both"/>
        <w:rPr>
          <w:b w:val="0"/>
          <w:lang w:val="sr-Cyrl-RS"/>
        </w:rPr>
      </w:pPr>
      <w:r>
        <w:rPr>
          <w:b w:val="0"/>
          <w:lang w:val="sr-Cyrl-RS"/>
        </w:rPr>
        <w:t>Будући</w:t>
      </w:r>
      <w:r w:rsidR="00743967">
        <w:rPr>
          <w:b w:val="0"/>
          <w:lang w:val="sr-Cyrl-RS"/>
        </w:rPr>
        <w:t xml:space="preserve"> да </w:t>
      </w:r>
      <w:r w:rsidR="00743967">
        <w:rPr>
          <w:b w:val="0"/>
        </w:rPr>
        <w:t>Повереник за самосталност јавног тужилаштва не</w:t>
      </w:r>
      <w:r w:rsidR="00743967">
        <w:rPr>
          <w:b w:val="0"/>
          <w:lang w:val="sr-Cyrl-RS"/>
        </w:rPr>
        <w:t xml:space="preserve">ма овлашћење да </w:t>
      </w:r>
      <w:r w:rsidR="00743967">
        <w:rPr>
          <w:b w:val="0"/>
        </w:rPr>
        <w:t xml:space="preserve"> улази</w:t>
      </w:r>
      <w:r w:rsidR="00743967">
        <w:rPr>
          <w:b w:val="0"/>
          <w:lang w:val="sr-Cyrl-RS"/>
        </w:rPr>
        <w:t xml:space="preserve"> </w:t>
      </w:r>
      <w:r w:rsidR="00743967">
        <w:rPr>
          <w:b w:val="0"/>
        </w:rPr>
        <w:t>у поступање надлежног тужиоца у појединачном предмету</w:t>
      </w:r>
      <w:r w:rsidR="001242FB">
        <w:rPr>
          <w:b w:val="0"/>
          <w:lang w:val="sr-Cyrl-RS"/>
        </w:rPr>
        <w:t>,</w:t>
      </w:r>
      <w:r w:rsidR="00743967">
        <w:rPr>
          <w:b w:val="0"/>
        </w:rPr>
        <w:t xml:space="preserve"> нити </w:t>
      </w:r>
      <w:r w:rsidR="00743967">
        <w:rPr>
          <w:b w:val="0"/>
          <w:lang w:val="sr-Cyrl-RS"/>
        </w:rPr>
        <w:t>може да даје</w:t>
      </w:r>
      <w:r w:rsidR="00743967">
        <w:rPr>
          <w:b w:val="0"/>
        </w:rPr>
        <w:t xml:space="preserve"> упутства за рад</w:t>
      </w:r>
      <w:r w:rsidR="00743967">
        <w:rPr>
          <w:b w:val="0"/>
          <w:lang w:val="sr-Cyrl-RS"/>
        </w:rPr>
        <w:t xml:space="preserve"> проблем на који је</w:t>
      </w:r>
      <w:r w:rsidR="00D043C1">
        <w:rPr>
          <w:b w:val="0"/>
          <w:lang w:val="sr-Cyrl-RS"/>
        </w:rPr>
        <w:t xml:space="preserve"> указала судија С.П.</w:t>
      </w:r>
      <w:r w:rsidR="00743967">
        <w:rPr>
          <w:b w:val="0"/>
          <w:lang w:val="sr-Cyrl-RS"/>
        </w:rPr>
        <w:t xml:space="preserve"> може да буде разматран искључиво са становишта упућивања мишљења Повереника са самосталност надлежном јавном тужилаштву. </w:t>
      </w:r>
      <w:r w:rsidR="00743967">
        <w:rPr>
          <w:b w:val="0"/>
        </w:rPr>
        <w:t xml:space="preserve"> </w:t>
      </w:r>
    </w:p>
    <w:p w:rsidR="009E0155" w:rsidRPr="00643B76" w:rsidRDefault="004B66E5" w:rsidP="002C25BA">
      <w:pPr>
        <w:spacing w:line="360" w:lineRule="auto"/>
        <w:ind w:firstLine="720"/>
        <w:jc w:val="both"/>
        <w:rPr>
          <w:b w:val="0"/>
          <w:lang w:val="sr-Cyrl-RS"/>
        </w:rPr>
      </w:pPr>
      <w:r>
        <w:rPr>
          <w:b w:val="0"/>
        </w:rPr>
        <w:t>Закоником о кривичном поступку (чл. 51) предвиђено је да оштећени може да поднесе приговор против решења о одбацивању кривичне пријаве непосредно вишем јавном тужиоцу, који  у случају да усвоји приговор издаје обавезно упутство за по</w:t>
      </w:r>
      <w:r w:rsidR="009624A2">
        <w:rPr>
          <w:b w:val="0"/>
        </w:rPr>
        <w:t>ступање   нижем јавном тужиоцу.</w:t>
      </w:r>
      <w:r w:rsidR="009624A2">
        <w:rPr>
          <w:b w:val="0"/>
          <w:lang w:val="sr-Cyrl-RS"/>
        </w:rPr>
        <w:t xml:space="preserve"> </w:t>
      </w:r>
      <w:r w:rsidR="00643B76">
        <w:rPr>
          <w:b w:val="0"/>
          <w:lang w:val="sr-Cyrl-RS"/>
        </w:rPr>
        <w:t>Ч</w:t>
      </w:r>
      <w:r w:rsidR="00643B76">
        <w:rPr>
          <w:b w:val="0"/>
        </w:rPr>
        <w:t>лан</w:t>
      </w:r>
      <w:r w:rsidR="00464C6D">
        <w:rPr>
          <w:b w:val="0"/>
        </w:rPr>
        <w:t xml:space="preserve"> 285. </w:t>
      </w:r>
      <w:r w:rsidR="00643B76">
        <w:rPr>
          <w:b w:val="0"/>
          <w:lang w:val="sr-Cyrl-RS"/>
        </w:rPr>
        <w:t>ЗКП-а о</w:t>
      </w:r>
      <w:r w:rsidR="00643B76">
        <w:rPr>
          <w:b w:val="0"/>
        </w:rPr>
        <w:t>влашћ</w:t>
      </w:r>
      <w:r w:rsidR="00643B76">
        <w:rPr>
          <w:b w:val="0"/>
          <w:lang w:val="sr-Cyrl-RS"/>
        </w:rPr>
        <w:t xml:space="preserve">ује  </w:t>
      </w:r>
      <w:r w:rsidR="00464C6D">
        <w:rPr>
          <w:b w:val="0"/>
        </w:rPr>
        <w:t xml:space="preserve"> јавног </w:t>
      </w:r>
      <w:r w:rsidR="00243635">
        <w:rPr>
          <w:b w:val="0"/>
        </w:rPr>
        <w:t>тужиоца да руководи предистражни</w:t>
      </w:r>
      <w:r w:rsidR="00464C6D">
        <w:rPr>
          <w:b w:val="0"/>
        </w:rPr>
        <w:t xml:space="preserve">м поступком и да предузима потребне радње ради </w:t>
      </w:r>
      <w:r w:rsidR="00643B76">
        <w:rPr>
          <w:b w:val="0"/>
        </w:rPr>
        <w:t>гоњења учинилаца кривичних дела</w:t>
      </w:r>
      <w:r w:rsidR="00AC1E36">
        <w:rPr>
          <w:b w:val="0"/>
          <w:lang w:val="sr-Cyrl-RS"/>
        </w:rPr>
        <w:t xml:space="preserve">, док </w:t>
      </w:r>
      <w:r w:rsidR="00643B76">
        <w:rPr>
          <w:b w:val="0"/>
          <w:lang w:val="sr-Cyrl-RS"/>
        </w:rPr>
        <w:t xml:space="preserve"> чл. 282. ст. 5. </w:t>
      </w:r>
      <w:r w:rsidR="00464C6D">
        <w:rPr>
          <w:b w:val="0"/>
        </w:rPr>
        <w:t xml:space="preserve"> </w:t>
      </w:r>
      <w:r w:rsidR="00AC1E36">
        <w:rPr>
          <w:b w:val="0"/>
          <w:lang w:val="sr-Cyrl-RS"/>
        </w:rPr>
        <w:t xml:space="preserve"> нормирано да су</w:t>
      </w:r>
      <w:r w:rsidR="00643B76">
        <w:rPr>
          <w:b w:val="0"/>
          <w:lang w:val="sr-Cyrl-RS"/>
        </w:rPr>
        <w:t xml:space="preserve"> ј</w:t>
      </w:r>
      <w:r w:rsidR="00643B76" w:rsidRPr="00643B76">
        <w:rPr>
          <w:b w:val="0"/>
        </w:rPr>
        <w:t>авни тужилац, државни и други органи, односно правна лица дужни су приликом прикупљања обавештења, односно давања података да поступају обазриво, водећи рачуна да се не нашкоди части и угледу лица на које се ови подаци односе.</w:t>
      </w:r>
    </w:p>
    <w:p w:rsidR="00F175E1" w:rsidRDefault="009624A2" w:rsidP="000D30B9">
      <w:pPr>
        <w:spacing w:line="360" w:lineRule="auto"/>
        <w:ind w:firstLine="720"/>
        <w:jc w:val="both"/>
        <w:rPr>
          <w:b w:val="0"/>
          <w:lang w:val="sr-Cyrl-RS"/>
        </w:rPr>
      </w:pPr>
      <w:r>
        <w:rPr>
          <w:b w:val="0"/>
          <w:lang w:val="sr-Cyrl-RS"/>
        </w:rPr>
        <w:t>Поменуте</w:t>
      </w:r>
      <w:r w:rsidR="00F175E1">
        <w:rPr>
          <w:b w:val="0"/>
          <w:lang w:val="sr-Cyrl-RS"/>
        </w:rPr>
        <w:t>,</w:t>
      </w:r>
      <w:r>
        <w:rPr>
          <w:b w:val="0"/>
          <w:lang w:val="sr-Cyrl-RS"/>
        </w:rPr>
        <w:t xml:space="preserve"> нити било које друге одредбе ЗКП-а</w:t>
      </w:r>
      <w:r w:rsidR="00355A2E">
        <w:rPr>
          <w:b w:val="0"/>
          <w:lang w:val="en-US"/>
        </w:rPr>
        <w:t>,</w:t>
      </w:r>
      <w:r>
        <w:rPr>
          <w:b w:val="0"/>
          <w:lang w:val="sr-Cyrl-RS"/>
        </w:rPr>
        <w:t xml:space="preserve"> не прописују</w:t>
      </w:r>
      <w:r w:rsidR="00F175E1">
        <w:rPr>
          <w:b w:val="0"/>
          <w:lang w:val="sr-Cyrl-RS"/>
        </w:rPr>
        <w:t xml:space="preserve"> начин прикупљања потребних обавештења препуштајући, самим тим, јавном тужиоцу да  процени како ће прикупљати обавештења,  уз обавезу да води рачуна о ограничењима из  чл. 282. ст. 5. ЗКП-а.  Дакле, јавно тужилаштво није повредило норме ЗКП тиме што је позвало судију </w:t>
      </w:r>
    </w:p>
    <w:p w:rsidR="00AC1E36" w:rsidRDefault="00AC1E36" w:rsidP="00AC1E36">
      <w:pPr>
        <w:spacing w:line="360" w:lineRule="auto"/>
        <w:jc w:val="both"/>
        <w:rPr>
          <w:b w:val="0"/>
          <w:lang w:val="sr-Cyrl-RS"/>
        </w:rPr>
      </w:pPr>
      <w:r>
        <w:rPr>
          <w:b w:val="0"/>
          <w:lang w:val="sr-Cyrl-RS"/>
        </w:rPr>
        <w:lastRenderedPageBreak/>
        <w:t>Са друге стране</w:t>
      </w:r>
      <w:r w:rsidR="00F175E1">
        <w:rPr>
          <w:b w:val="0"/>
          <w:lang w:val="sr-Cyrl-RS"/>
        </w:rPr>
        <w:t xml:space="preserve">, </w:t>
      </w:r>
      <w:r w:rsidR="00F175E1">
        <w:rPr>
          <w:b w:val="0"/>
        </w:rPr>
        <w:t>члан</w:t>
      </w:r>
      <w:r w:rsidR="00F175E1">
        <w:rPr>
          <w:b w:val="0"/>
          <w:lang w:val="sr-Cyrl-RS"/>
        </w:rPr>
        <w:t>ом</w:t>
      </w:r>
      <w:r w:rsidR="00F175E1">
        <w:rPr>
          <w:b w:val="0"/>
        </w:rPr>
        <w:t xml:space="preserve"> 149. и члан</w:t>
      </w:r>
      <w:r w:rsidR="00F175E1">
        <w:rPr>
          <w:b w:val="0"/>
          <w:lang w:val="sr-Cyrl-RS"/>
        </w:rPr>
        <w:t>ом</w:t>
      </w:r>
      <w:r w:rsidR="00B356AB">
        <w:rPr>
          <w:b w:val="0"/>
        </w:rPr>
        <w:t xml:space="preserve"> 151. Устава РС, као</w:t>
      </w:r>
      <w:r>
        <w:rPr>
          <w:b w:val="0"/>
          <w:lang w:val="sr-Cyrl-RS"/>
        </w:rPr>
        <w:t xml:space="preserve"> и</w:t>
      </w:r>
      <w:r w:rsidR="00B356AB">
        <w:rPr>
          <w:b w:val="0"/>
        </w:rPr>
        <w:t xml:space="preserve"> </w:t>
      </w:r>
      <w:r w:rsidR="00F175E1">
        <w:rPr>
          <w:b w:val="0"/>
        </w:rPr>
        <w:t>чла</w:t>
      </w:r>
      <w:r w:rsidR="00F175E1">
        <w:rPr>
          <w:b w:val="0"/>
          <w:lang w:val="sr-Cyrl-RS"/>
        </w:rPr>
        <w:t>новима</w:t>
      </w:r>
      <w:r>
        <w:rPr>
          <w:b w:val="0"/>
        </w:rPr>
        <w:t xml:space="preserve"> 1. и члана 5. Закона </w:t>
      </w:r>
      <w:r>
        <w:rPr>
          <w:b w:val="0"/>
          <w:lang w:val="sr-Cyrl-RS"/>
        </w:rPr>
        <w:t xml:space="preserve">о </w:t>
      </w:r>
      <w:r w:rsidR="00B356AB">
        <w:rPr>
          <w:b w:val="0"/>
        </w:rPr>
        <w:t xml:space="preserve">судијама, </w:t>
      </w:r>
      <w:r w:rsidR="00F175E1">
        <w:rPr>
          <w:b w:val="0"/>
          <w:lang w:val="sr-Cyrl-RS"/>
        </w:rPr>
        <w:t xml:space="preserve">гарантује се </w:t>
      </w:r>
      <w:r w:rsidR="00B356AB">
        <w:rPr>
          <w:b w:val="0"/>
        </w:rPr>
        <w:t>независност и имунитет су</w:t>
      </w:r>
      <w:r w:rsidR="009E0155">
        <w:rPr>
          <w:b w:val="0"/>
        </w:rPr>
        <w:t xml:space="preserve">дија. </w:t>
      </w:r>
    </w:p>
    <w:p w:rsidR="009839AD" w:rsidRPr="00AC1E36" w:rsidRDefault="001242FB" w:rsidP="00AC1E36">
      <w:pPr>
        <w:spacing w:line="360" w:lineRule="auto"/>
        <w:ind w:firstLine="720"/>
        <w:jc w:val="both"/>
        <w:rPr>
          <w:b w:val="0"/>
        </w:rPr>
      </w:pPr>
      <w:r>
        <w:rPr>
          <w:b w:val="0"/>
          <w:lang w:val="sr-Cyrl-RS"/>
        </w:rPr>
        <w:t xml:space="preserve"> О </w:t>
      </w:r>
      <w:r w:rsidR="008A262B">
        <w:rPr>
          <w:b w:val="0"/>
          <w:lang w:val="sr-Cyrl-RS"/>
        </w:rPr>
        <w:t>независности правосуђа</w:t>
      </w:r>
      <w:r>
        <w:rPr>
          <w:b w:val="0"/>
          <w:lang w:val="sr-Cyrl-RS"/>
        </w:rPr>
        <w:t xml:space="preserve"> говоре бројни међународни стандарди који  </w:t>
      </w:r>
      <w:r w:rsidR="00AC1E36">
        <w:rPr>
          <w:b w:val="0"/>
          <w:lang w:val="sr-Cyrl-RS"/>
        </w:rPr>
        <w:t xml:space="preserve"> успостављају</w:t>
      </w:r>
      <w:r>
        <w:rPr>
          <w:b w:val="0"/>
          <w:lang w:val="sr-Cyrl-RS"/>
        </w:rPr>
        <w:t xml:space="preserve"> и стандарде у погледу </w:t>
      </w:r>
      <w:r w:rsidR="00AC1E36">
        <w:rPr>
          <w:b w:val="0"/>
          <w:lang w:val="sr-Cyrl-RS"/>
        </w:rPr>
        <w:t xml:space="preserve">  независности правосуђа. Поред осталих то је и </w:t>
      </w:r>
      <w:r w:rsidR="00AC1E36">
        <w:rPr>
          <w:b w:val="0"/>
        </w:rPr>
        <w:t>Конвенциј</w:t>
      </w:r>
      <w:r w:rsidR="00AC1E36">
        <w:rPr>
          <w:b w:val="0"/>
          <w:lang w:val="sr-Cyrl-RS"/>
        </w:rPr>
        <w:t>а</w:t>
      </w:r>
      <w:r w:rsidR="005C780F">
        <w:rPr>
          <w:b w:val="0"/>
        </w:rPr>
        <w:t xml:space="preserve">  о људским правима</w:t>
      </w:r>
      <w:r w:rsidR="00AC1E36">
        <w:rPr>
          <w:b w:val="0"/>
          <w:lang w:val="sr-Cyrl-RS"/>
        </w:rPr>
        <w:t xml:space="preserve"> УН која </w:t>
      </w:r>
      <w:r w:rsidR="00AC1E36">
        <w:rPr>
          <w:b w:val="0"/>
        </w:rPr>
        <w:t xml:space="preserve"> </w:t>
      </w:r>
      <w:r w:rsidR="00AC1E36">
        <w:rPr>
          <w:b w:val="0"/>
          <w:lang w:val="sr-Cyrl-RS"/>
        </w:rPr>
        <w:t xml:space="preserve">говори о </w:t>
      </w:r>
      <w:r w:rsidR="00AC1E36">
        <w:rPr>
          <w:b w:val="0"/>
        </w:rPr>
        <w:t>''незави</w:t>
      </w:r>
      <w:r w:rsidR="00AC1E36">
        <w:rPr>
          <w:b w:val="0"/>
          <w:lang w:val="sr-Cyrl-RS"/>
        </w:rPr>
        <w:t xml:space="preserve">сном </w:t>
      </w:r>
      <w:r w:rsidR="00AC1E36">
        <w:rPr>
          <w:b w:val="0"/>
        </w:rPr>
        <w:t xml:space="preserve"> и непристрас</w:t>
      </w:r>
      <w:r w:rsidR="00AC1E36">
        <w:rPr>
          <w:b w:val="0"/>
          <w:lang w:val="sr-Cyrl-RS"/>
        </w:rPr>
        <w:t>ном</w:t>
      </w:r>
      <w:r w:rsidR="005C780F">
        <w:rPr>
          <w:b w:val="0"/>
        </w:rPr>
        <w:t xml:space="preserve"> суд</w:t>
      </w:r>
      <w:r w:rsidR="00AC1E36">
        <w:rPr>
          <w:b w:val="0"/>
          <w:lang w:val="sr-Cyrl-RS"/>
        </w:rPr>
        <w:t>у</w:t>
      </w:r>
      <w:r w:rsidR="00AC1E36">
        <w:rPr>
          <w:b w:val="0"/>
        </w:rPr>
        <w:t>''</w:t>
      </w:r>
      <w:r w:rsidR="00AC1E36">
        <w:rPr>
          <w:b w:val="0"/>
          <w:lang w:val="sr-Cyrl-RS"/>
        </w:rPr>
        <w:t>, затим ту су</w:t>
      </w:r>
      <w:r w:rsidR="005C780F">
        <w:rPr>
          <w:b w:val="0"/>
        </w:rPr>
        <w:t xml:space="preserve"> Основни принципи УН-а о независности правосуђа </w:t>
      </w:r>
      <w:r w:rsidR="00AC1E36">
        <w:rPr>
          <w:b w:val="0"/>
          <w:lang w:val="sr-Cyrl-RS"/>
        </w:rPr>
        <w:t xml:space="preserve"> који </w:t>
      </w:r>
      <w:r w:rsidR="005C780F">
        <w:rPr>
          <w:b w:val="0"/>
        </w:rPr>
        <w:t xml:space="preserve">наводе да су све институције власти дужне поштовати независност правосуђа. Са тим у вези Комитет за људска права УН-а </w:t>
      </w:r>
      <w:r w:rsidR="009D4848">
        <w:rPr>
          <w:b w:val="0"/>
        </w:rPr>
        <w:t>истакао је да су државе дужне да предузму конкретне мере не би ли гарантовале независност правосуђа и заштиту судија од било каквог  утицаја приликом доношења одлука.</w:t>
      </w:r>
    </w:p>
    <w:p w:rsidR="007951FA" w:rsidRDefault="00AC1E36" w:rsidP="007951FA">
      <w:pPr>
        <w:spacing w:line="360" w:lineRule="auto"/>
        <w:ind w:firstLine="720"/>
        <w:jc w:val="both"/>
        <w:rPr>
          <w:b w:val="0"/>
          <w:lang w:val="sr-Cyrl-RS"/>
        </w:rPr>
      </w:pPr>
      <w:r>
        <w:rPr>
          <w:b w:val="0"/>
          <w:lang w:val="sr-Cyrl-RS"/>
        </w:rPr>
        <w:t>Цитирање законских одредби које говоре о овлашћењима јавног тужиоца у предистражном поступку као и навођење неких од докумената у којима су садржани стандарди институционалне независности правосуђа и личне независности судија</w:t>
      </w:r>
      <w:r w:rsidR="001242FB">
        <w:rPr>
          <w:b w:val="0"/>
          <w:lang w:val="sr-Cyrl-RS"/>
        </w:rPr>
        <w:t xml:space="preserve">, ван сваке сумње </w:t>
      </w:r>
      <w:r>
        <w:rPr>
          <w:b w:val="0"/>
          <w:lang w:val="sr-Cyrl-RS"/>
        </w:rPr>
        <w:t xml:space="preserve"> указују на то да би јавни тужилац приликом прикупљања потребних об</w:t>
      </w:r>
      <w:r w:rsidR="001242FB">
        <w:rPr>
          <w:b w:val="0"/>
          <w:lang w:val="sr-Cyrl-RS"/>
        </w:rPr>
        <w:t>авештења или предузимања доказних радњи према</w:t>
      </w:r>
      <w:r>
        <w:rPr>
          <w:b w:val="0"/>
          <w:lang w:val="sr-Cyrl-RS"/>
        </w:rPr>
        <w:t xml:space="preserve"> судија</w:t>
      </w:r>
      <w:r w:rsidR="001242FB">
        <w:rPr>
          <w:b w:val="0"/>
          <w:lang w:val="sr-Cyrl-RS"/>
        </w:rPr>
        <w:t>ма</w:t>
      </w:r>
      <w:r>
        <w:rPr>
          <w:b w:val="0"/>
          <w:lang w:val="sr-Cyrl-RS"/>
        </w:rPr>
        <w:t xml:space="preserve"> морао да води рачуна и о томе </w:t>
      </w:r>
      <w:r w:rsidR="004E2793">
        <w:rPr>
          <w:b w:val="0"/>
          <w:lang w:val="sr-Cyrl-RS"/>
        </w:rPr>
        <w:t xml:space="preserve"> да начином прикупљања обавештења или предузимања доказних радњи не повреди личну независност судија</w:t>
      </w:r>
      <w:r w:rsidR="007951FA">
        <w:rPr>
          <w:b w:val="0"/>
          <w:lang w:val="sr-Cyrl-RS"/>
        </w:rPr>
        <w:t xml:space="preserve"> и уопште независност судства</w:t>
      </w:r>
      <w:r w:rsidR="004E2793">
        <w:rPr>
          <w:b w:val="0"/>
          <w:lang w:val="sr-Cyrl-RS"/>
        </w:rPr>
        <w:t xml:space="preserve">. </w:t>
      </w:r>
    </w:p>
    <w:p w:rsidR="001242FB" w:rsidRDefault="001242FB" w:rsidP="007951FA">
      <w:pPr>
        <w:spacing w:line="360" w:lineRule="auto"/>
        <w:ind w:firstLine="720"/>
        <w:jc w:val="both"/>
        <w:rPr>
          <w:b w:val="0"/>
          <w:lang w:val="sr-Cyrl-RS"/>
        </w:rPr>
      </w:pPr>
      <w:r>
        <w:rPr>
          <w:b w:val="0"/>
          <w:lang w:val="sr-Cyrl-RS"/>
        </w:rPr>
        <w:t>У</w:t>
      </w:r>
      <w:r w:rsidR="004E2793">
        <w:rPr>
          <w:b w:val="0"/>
          <w:lang w:val="sr-Cyrl-RS"/>
        </w:rPr>
        <w:t xml:space="preserve"> предметима у којима су кривичне пријаве поднете против судија,  приликом предузимања мера и радњи у предистражном поступку</w:t>
      </w:r>
      <w:r>
        <w:rPr>
          <w:b w:val="0"/>
          <w:lang w:val="sr-Cyrl-RS"/>
        </w:rPr>
        <w:t>, дакле,</w:t>
      </w:r>
      <w:r w:rsidR="004E2793">
        <w:rPr>
          <w:b w:val="0"/>
          <w:lang w:val="sr-Cyrl-RS"/>
        </w:rPr>
        <w:t xml:space="preserve"> осим што је потребно стриктно поштовати законске норме и водити рачуна да се не нашкоди части и угледу лица од кога се прикупљају потребна обавештења или преузимају доказне</w:t>
      </w:r>
      <w:r w:rsidR="00355A2E">
        <w:rPr>
          <w:b w:val="0"/>
          <w:lang w:val="sr-Cyrl-RS"/>
        </w:rPr>
        <w:t xml:space="preserve"> радње, нужно је водити рачуна д</w:t>
      </w:r>
      <w:r w:rsidR="004E2793">
        <w:rPr>
          <w:b w:val="0"/>
          <w:lang w:val="sr-Cyrl-RS"/>
        </w:rPr>
        <w:t>а се не повреди или угрози независност судија</w:t>
      </w:r>
      <w:r w:rsidR="00355A2E">
        <w:rPr>
          <w:b w:val="0"/>
          <w:lang w:val="sr-Cyrl-RS"/>
        </w:rPr>
        <w:t xml:space="preserve"> </w:t>
      </w:r>
      <w:r>
        <w:rPr>
          <w:b w:val="0"/>
          <w:lang w:val="sr-Cyrl-RS"/>
        </w:rPr>
        <w:t>и судства</w:t>
      </w:r>
      <w:r w:rsidR="004E2793">
        <w:rPr>
          <w:b w:val="0"/>
          <w:lang w:val="sr-Cyrl-RS"/>
        </w:rPr>
        <w:t>. Свака радња би требала да буд</w:t>
      </w:r>
      <w:r>
        <w:rPr>
          <w:b w:val="0"/>
          <w:lang w:val="sr-Cyrl-RS"/>
        </w:rPr>
        <w:t>е подвргнута ''троструком тесту</w:t>
      </w:r>
      <w:r w:rsidR="004E2793">
        <w:rPr>
          <w:b w:val="0"/>
          <w:lang w:val="sr-Cyrl-RS"/>
        </w:rPr>
        <w:t xml:space="preserve"> о</w:t>
      </w:r>
      <w:r w:rsidR="008A262B">
        <w:rPr>
          <w:b w:val="0"/>
          <w:lang w:val="sr-Cyrl-RS"/>
        </w:rPr>
        <w:t>цене''</w:t>
      </w:r>
      <w:r w:rsidR="00355A2E">
        <w:rPr>
          <w:b w:val="0"/>
          <w:lang w:val="sr-Cyrl-RS"/>
        </w:rPr>
        <w:t>,</w:t>
      </w:r>
      <w:r w:rsidR="008A262B">
        <w:rPr>
          <w:b w:val="0"/>
          <w:lang w:val="sr-Cyrl-RS"/>
        </w:rPr>
        <w:t xml:space="preserve"> први је да ли је законито</w:t>
      </w:r>
      <w:r w:rsidR="004E2793">
        <w:rPr>
          <w:b w:val="0"/>
          <w:lang w:val="sr-Cyrl-RS"/>
        </w:rPr>
        <w:t xml:space="preserve"> предузета, други је ли се поступањем може нашкодити части и угледу</w:t>
      </w:r>
      <w:r w:rsidR="007951FA">
        <w:rPr>
          <w:b w:val="0"/>
          <w:lang w:val="sr-Cyrl-RS"/>
        </w:rPr>
        <w:t xml:space="preserve"> лица од кога се прикупљају обавештења</w:t>
      </w:r>
      <w:r w:rsidR="004E2793">
        <w:rPr>
          <w:b w:val="0"/>
          <w:lang w:val="sr-Cyrl-RS"/>
        </w:rPr>
        <w:t xml:space="preserve"> и трећи је да ли  поступање може да повреди или угро</w:t>
      </w:r>
      <w:r w:rsidR="002851DB">
        <w:rPr>
          <w:b w:val="0"/>
          <w:lang w:val="sr-Cyrl-RS"/>
        </w:rPr>
        <w:t>зи независност судија и судства?</w:t>
      </w:r>
      <w:r w:rsidR="004E2793">
        <w:rPr>
          <w:b w:val="0"/>
          <w:lang w:val="sr-Cyrl-RS"/>
        </w:rPr>
        <w:t xml:space="preserve">  </w:t>
      </w:r>
      <w:r w:rsidR="004E2793" w:rsidRPr="00A170DB">
        <w:rPr>
          <w:lang w:val="sr-Cyrl-RS"/>
        </w:rPr>
        <w:t xml:space="preserve">У пракси то </w:t>
      </w:r>
      <w:r w:rsidR="00A170DB">
        <w:rPr>
          <w:lang w:val="sr-Cyrl-RS"/>
        </w:rPr>
        <w:t>би требало</w:t>
      </w:r>
      <w:r w:rsidR="007951FA" w:rsidRPr="00A170DB">
        <w:rPr>
          <w:lang w:val="sr-Cyrl-RS"/>
        </w:rPr>
        <w:t xml:space="preserve"> да </w:t>
      </w:r>
      <w:r w:rsidR="004E2793" w:rsidRPr="00A170DB">
        <w:rPr>
          <w:lang w:val="sr-Cyrl-RS"/>
        </w:rPr>
        <w:t xml:space="preserve">значи да се непосредном прикупљању обавештења или  </w:t>
      </w:r>
      <w:r w:rsidR="007951FA" w:rsidRPr="00A170DB">
        <w:rPr>
          <w:lang w:val="sr-Cyrl-RS"/>
        </w:rPr>
        <w:t>саслушању судије приступа изузетно, само ако на други начин није могуће донети одлуку о наставку кривичног прогона или о томе да би осумњиченог требало разрешити сумње да је извршио кривично дело</w:t>
      </w:r>
      <w:r w:rsidR="007951FA">
        <w:rPr>
          <w:b w:val="0"/>
          <w:lang w:val="sr-Cyrl-RS"/>
        </w:rPr>
        <w:t xml:space="preserve">. Овакав став, заснивам и на чињеници да Законик о кривичном поступку предвиђа низак ниво сумње потребан за предузимање радњи у </w:t>
      </w:r>
      <w:r w:rsidR="002851DB">
        <w:rPr>
          <w:b w:val="0"/>
          <w:lang w:val="sr-Cyrl-RS"/>
        </w:rPr>
        <w:t>преистражном</w:t>
      </w:r>
      <w:r w:rsidR="007951FA">
        <w:rPr>
          <w:b w:val="0"/>
          <w:lang w:val="sr-Cyrl-RS"/>
        </w:rPr>
        <w:t xml:space="preserve"> поступку и за вођење истраге, </w:t>
      </w:r>
      <w:r w:rsidR="002851DB">
        <w:rPr>
          <w:b w:val="0"/>
          <w:lang w:val="sr-Cyrl-RS"/>
        </w:rPr>
        <w:t xml:space="preserve"> а то је ''</w:t>
      </w:r>
      <w:r w:rsidR="007951FA">
        <w:rPr>
          <w:b w:val="0"/>
          <w:lang w:val="sr-Cyrl-RS"/>
        </w:rPr>
        <w:t>основ сумње</w:t>
      </w:r>
      <w:r w:rsidR="002851DB">
        <w:rPr>
          <w:b w:val="0"/>
          <w:lang w:val="sr-Cyrl-RS"/>
        </w:rPr>
        <w:t>''</w:t>
      </w:r>
      <w:r w:rsidR="007951FA">
        <w:rPr>
          <w:b w:val="0"/>
          <w:lang w:val="sr-Cyrl-RS"/>
        </w:rPr>
        <w:t xml:space="preserve"> </w:t>
      </w:r>
      <w:r w:rsidR="007951FA">
        <w:rPr>
          <w:b w:val="0"/>
          <w:lang w:val="sr-Cyrl-RS"/>
        </w:rPr>
        <w:lastRenderedPageBreak/>
        <w:t>који су  према законској дефиницији скуп чињеница који посредно указују да је учињено кривично дело или да је учинилац извршио кривично дело.</w:t>
      </w:r>
      <w:r w:rsidR="002851DB">
        <w:rPr>
          <w:b w:val="0"/>
          <w:lang w:val="sr-Cyrl-RS"/>
        </w:rPr>
        <w:t xml:space="preserve"> Низак ниво сумње потребне за одлуку о </w:t>
      </w:r>
      <w:r w:rsidR="00A170DB">
        <w:rPr>
          <w:b w:val="0"/>
          <w:lang w:val="sr-Cyrl-RS"/>
        </w:rPr>
        <w:t>предистраж</w:t>
      </w:r>
      <w:r w:rsidR="00355A2E">
        <w:rPr>
          <w:b w:val="0"/>
          <w:lang w:val="sr-Cyrl-RS"/>
        </w:rPr>
        <w:t>ном поступку или истрази</w:t>
      </w:r>
      <w:r w:rsidR="002851DB">
        <w:rPr>
          <w:b w:val="0"/>
          <w:lang w:val="sr-Cyrl-RS"/>
        </w:rPr>
        <w:t>, као и одсуство судске или инстанционе контро</w:t>
      </w:r>
      <w:r>
        <w:rPr>
          <w:b w:val="0"/>
          <w:lang w:val="sr-Cyrl-RS"/>
        </w:rPr>
        <w:t xml:space="preserve">ле ових одлука захтева да се са </w:t>
      </w:r>
      <w:r w:rsidR="002851DB">
        <w:rPr>
          <w:b w:val="0"/>
          <w:lang w:val="sr-Cyrl-RS"/>
        </w:rPr>
        <w:t>већим степеном профе</w:t>
      </w:r>
      <w:r>
        <w:rPr>
          <w:b w:val="0"/>
          <w:lang w:val="sr-Cyrl-RS"/>
        </w:rPr>
        <w:t>сионалне брижљивости предузимају мере и радње</w:t>
      </w:r>
      <w:r w:rsidR="002851DB">
        <w:rPr>
          <w:b w:val="0"/>
          <w:lang w:val="sr-Cyrl-RS"/>
        </w:rPr>
        <w:t xml:space="preserve"> у предистражном по</w:t>
      </w:r>
      <w:r w:rsidR="00A170DB">
        <w:rPr>
          <w:b w:val="0"/>
          <w:lang w:val="sr-Cyrl-RS"/>
        </w:rPr>
        <w:t>ступку, иначе,  а посебно у ситуацији када се оне усмерене против носилаца судске функције.</w:t>
      </w:r>
    </w:p>
    <w:p w:rsidR="00A170DB" w:rsidRDefault="00A170DB" w:rsidP="007951FA">
      <w:pPr>
        <w:spacing w:line="360" w:lineRule="auto"/>
        <w:ind w:firstLine="720"/>
        <w:jc w:val="both"/>
        <w:rPr>
          <w:b w:val="0"/>
          <w:lang w:val="sr-Cyrl-RS"/>
        </w:rPr>
      </w:pPr>
    </w:p>
    <w:p w:rsidR="004E2793" w:rsidRPr="007951FA" w:rsidRDefault="002851DB" w:rsidP="007951FA">
      <w:pPr>
        <w:spacing w:line="360" w:lineRule="auto"/>
        <w:ind w:firstLine="720"/>
        <w:jc w:val="both"/>
        <w:rPr>
          <w:b w:val="0"/>
          <w:lang w:val="sr-Cyrl-RS"/>
        </w:rPr>
      </w:pPr>
      <w:r>
        <w:rPr>
          <w:b w:val="0"/>
          <w:lang w:val="sr-Cyrl-RS"/>
        </w:rPr>
        <w:t xml:space="preserve"> </w:t>
      </w:r>
    </w:p>
    <w:p w:rsidR="001E64C7" w:rsidRDefault="001E64C7" w:rsidP="001E64C7">
      <w:pPr>
        <w:spacing w:line="360" w:lineRule="auto"/>
        <w:ind w:firstLine="720"/>
        <w:jc w:val="both"/>
        <w:rPr>
          <w:b w:val="0"/>
        </w:rPr>
      </w:pPr>
    </w:p>
    <w:p w:rsidR="001E64C7" w:rsidRDefault="001E64C7" w:rsidP="001E64C7">
      <w:pPr>
        <w:spacing w:line="360" w:lineRule="auto"/>
        <w:ind w:firstLine="720"/>
        <w:jc w:val="both"/>
      </w:pPr>
    </w:p>
    <w:p w:rsidR="00B110F3" w:rsidRDefault="00B110F3" w:rsidP="00BD1B0A">
      <w:pPr>
        <w:ind w:left="4320" w:firstLine="720"/>
      </w:pPr>
      <w:r>
        <w:rPr>
          <w:rFonts w:hint="cs"/>
        </w:rPr>
        <w:t xml:space="preserve">ПОВЕРЕНИК ЗА САМОСТАЛНОСТ </w:t>
      </w:r>
    </w:p>
    <w:p w:rsidR="00B110F3" w:rsidRPr="00922FDD" w:rsidRDefault="00B110F3" w:rsidP="00B110F3">
      <w:r>
        <w:rPr>
          <w:rFonts w:hint="cs"/>
        </w:rPr>
        <w:tab/>
      </w:r>
      <w:r>
        <w:rPr>
          <w:rFonts w:hint="cs"/>
        </w:rPr>
        <w:tab/>
        <w:t xml:space="preserve">                                                               JАВНОГ ТУЖИЛАШТВА</w:t>
      </w:r>
    </w:p>
    <w:p w:rsidR="00B110F3" w:rsidRPr="00B110F3" w:rsidRDefault="00B110F3" w:rsidP="00B110F3">
      <w:pPr>
        <w:spacing w:line="360" w:lineRule="auto"/>
        <w:ind w:firstLine="720"/>
        <w:jc w:val="both"/>
        <w:rPr>
          <w:b w:val="0"/>
        </w:rPr>
      </w:pPr>
      <w:r>
        <w:t xml:space="preserve">                                                                                     </w:t>
      </w:r>
      <w:r>
        <w:rPr>
          <w:rFonts w:hint="cs"/>
        </w:rPr>
        <w:t>Др Горан Илић</w:t>
      </w:r>
    </w:p>
    <w:p w:rsidR="00B110F3" w:rsidRPr="00B110F3" w:rsidRDefault="00B110F3" w:rsidP="00B110F3">
      <w:pPr>
        <w:ind w:firstLine="720"/>
        <w:jc w:val="both"/>
      </w:pPr>
    </w:p>
    <w:sectPr w:rsidR="00B110F3" w:rsidRPr="00B110F3" w:rsidSect="00CA5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F3"/>
    <w:rsid w:val="0001067F"/>
    <w:rsid w:val="000A2DBD"/>
    <w:rsid w:val="000D30B9"/>
    <w:rsid w:val="000D3DB0"/>
    <w:rsid w:val="00103816"/>
    <w:rsid w:val="001242FB"/>
    <w:rsid w:val="0014722A"/>
    <w:rsid w:val="001B06D3"/>
    <w:rsid w:val="001E64C7"/>
    <w:rsid w:val="00221BA7"/>
    <w:rsid w:val="00243635"/>
    <w:rsid w:val="002851DB"/>
    <w:rsid w:val="002C25BA"/>
    <w:rsid w:val="00355A2E"/>
    <w:rsid w:val="00460CD5"/>
    <w:rsid w:val="00464C6D"/>
    <w:rsid w:val="004B66E5"/>
    <w:rsid w:val="004D4DA8"/>
    <w:rsid w:val="004E2793"/>
    <w:rsid w:val="005A68F4"/>
    <w:rsid w:val="005C780F"/>
    <w:rsid w:val="005D2AC6"/>
    <w:rsid w:val="00604190"/>
    <w:rsid w:val="00643B76"/>
    <w:rsid w:val="00743967"/>
    <w:rsid w:val="00747BFD"/>
    <w:rsid w:val="007513BC"/>
    <w:rsid w:val="00761C30"/>
    <w:rsid w:val="007951FA"/>
    <w:rsid w:val="0089528B"/>
    <w:rsid w:val="008A262B"/>
    <w:rsid w:val="00922FDD"/>
    <w:rsid w:val="009505FD"/>
    <w:rsid w:val="009624A2"/>
    <w:rsid w:val="009839AD"/>
    <w:rsid w:val="009D4848"/>
    <w:rsid w:val="009E0155"/>
    <w:rsid w:val="00A05613"/>
    <w:rsid w:val="00A170DB"/>
    <w:rsid w:val="00AC1E36"/>
    <w:rsid w:val="00B110F3"/>
    <w:rsid w:val="00B356AB"/>
    <w:rsid w:val="00BD1B0A"/>
    <w:rsid w:val="00C07C26"/>
    <w:rsid w:val="00C610B7"/>
    <w:rsid w:val="00CA5380"/>
    <w:rsid w:val="00D043C1"/>
    <w:rsid w:val="00E8729A"/>
    <w:rsid w:val="00EF3810"/>
    <w:rsid w:val="00F03B84"/>
    <w:rsid w:val="00F1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0F3"/>
    <w:pPr>
      <w:overflowPunct w:val="0"/>
      <w:autoSpaceDE w:val="0"/>
      <w:autoSpaceDN w:val="0"/>
      <w:adjustRightInd w:val="0"/>
      <w:spacing w:after="0" w:line="240" w:lineRule="auto"/>
    </w:pPr>
    <w:rPr>
      <w:rFonts w:ascii="Times New (W1)" w:eastAsia="Times New Roman" w:hAnsi="Times New (W1)" w:cs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0F3"/>
    <w:rPr>
      <w:rFonts w:ascii="Tahoma" w:eastAsia="Times New Roman" w:hAnsi="Tahoma" w:cs="Tahoma"/>
      <w:b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0F3"/>
    <w:pPr>
      <w:overflowPunct w:val="0"/>
      <w:autoSpaceDE w:val="0"/>
      <w:autoSpaceDN w:val="0"/>
      <w:adjustRightInd w:val="0"/>
      <w:spacing w:after="0" w:line="240" w:lineRule="auto"/>
    </w:pPr>
    <w:rPr>
      <w:rFonts w:ascii="Times New (W1)" w:eastAsia="Times New Roman" w:hAnsi="Times New (W1)" w:cs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0F3"/>
    <w:rPr>
      <w:rFonts w:ascii="Tahoma" w:eastAsia="Times New Roman" w:hAnsi="Tahoma" w:cs="Tahoma"/>
      <w:b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Miona Bozic</dc:creator>
  <cp:lastModifiedBy>Miona Bozic</cp:lastModifiedBy>
  <cp:revision>6</cp:revision>
  <cp:lastPrinted>2018-01-29T20:08:00Z</cp:lastPrinted>
  <dcterms:created xsi:type="dcterms:W3CDTF">2018-01-30T17:23:00Z</dcterms:created>
  <dcterms:modified xsi:type="dcterms:W3CDTF">2018-03-01T07:23:00Z</dcterms:modified>
</cp:coreProperties>
</file>